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MINUTA DE TERMO DE CONTRATO DE SERVIÇOS</w:t>
      </w:r>
      <w:bookmarkEnd w:id="0"/>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w:t>
      </w:r>
      <w:r>
        <w:rPr>
          <w:rFonts w:hint="default" w:ascii="Arial" w:hAnsi="Arial" w:cs="Arial"/>
          <w:b/>
          <w:bCs/>
          <w:sz w:val="22"/>
          <w:szCs w:val="22"/>
          <w:lang w:val="pt-BR"/>
        </w:rPr>
        <w:t>13.230/2026</w:t>
      </w:r>
      <w:r>
        <w:rPr>
          <w:rFonts w:ascii="Arial" w:hAnsi="Arial" w:cs="Arial"/>
          <w:b/>
          <w:bCs/>
          <w:sz w:val="22"/>
          <w:szCs w:val="22"/>
        </w:rPr>
        <w:t xml:space="preserve">, </w:t>
      </w:r>
      <w:r>
        <w:rPr>
          <w:rFonts w:hint="default" w:ascii="Arial" w:hAnsi="Arial" w:cs="Arial"/>
          <w:b/>
          <w:bCs/>
          <w:sz w:val="22"/>
          <w:szCs w:val="22"/>
          <w:lang w:val="pt-BR"/>
        </w:rPr>
        <w:t xml:space="preserve">ID Interno nº 90.074/2026,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45</w:t>
      </w:r>
      <w:r>
        <w:rPr>
          <w:rFonts w:ascii="Arial" w:hAnsi="Arial" w:cs="Arial"/>
          <w:b/>
          <w:bCs/>
          <w:sz w:val="22"/>
          <w:szCs w:val="22"/>
          <w:highlight w:val="none"/>
        </w:rPr>
        <w:t>/20</w:t>
      </w:r>
      <w:r>
        <w:rPr>
          <w:rFonts w:hint="default" w:ascii="Arial" w:hAnsi="Arial" w:cs="Arial"/>
          <w:b/>
          <w:bCs/>
          <w:sz w:val="22"/>
          <w:szCs w:val="22"/>
          <w:highlight w:val="none"/>
          <w:lang w:val="pt-BR"/>
        </w:rPr>
        <w:t>26</w:t>
      </w:r>
      <w:r>
        <w:rPr>
          <w:rFonts w:ascii="Arial" w:hAnsi="Arial" w:cs="Arial"/>
          <w:sz w:val="22"/>
          <w:szCs w:val="22"/>
        </w:rPr>
        <w:t>,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w:t>
      </w:r>
      <w:r>
        <w:rPr>
          <w:rFonts w:hint="default" w:ascii="Arial" w:hAnsi="Arial" w:cs="Arial"/>
          <w:bCs/>
          <w:iCs/>
          <w:lang w:val="pt-BR"/>
        </w:rPr>
        <w:t xml:space="preserve"> </w:t>
      </w:r>
      <w:r>
        <w:rPr>
          <w:rFonts w:ascii="Arial" w:hAnsi="Arial" w:cs="Arial"/>
          <w:bCs/>
          <w:iCs/>
        </w:rPr>
        <w:t>é a</w:t>
      </w:r>
      <w:r>
        <w:rPr>
          <w:rFonts w:hint="default" w:ascii="Arial" w:hAnsi="Arial" w:cs="Arial"/>
          <w:bCs/>
          <w:iCs/>
          <w:lang w:val="pt-BR"/>
        </w:rPr>
        <w:t xml:space="preserve"> </w:t>
      </w:r>
      <w:r>
        <w:rPr>
          <w:rFonts w:ascii="Arial" w:hAnsi="Arial" w:cs="Arial"/>
          <w:b/>
          <w:bCs w:val="0"/>
          <w:iCs/>
          <w:lang w:val="pt-BR" w:eastAsia="en-US"/>
        </w:rPr>
        <w:t xml:space="preserve">CONTRATAÇÃO DE EMPRESA ESPECIALIZADA para </w:t>
      </w:r>
      <w:r>
        <w:rPr>
          <w:rFonts w:hint="default" w:ascii="Arial" w:hAnsi="Arial" w:cs="Arial"/>
          <w:b/>
          <w:bCs w:val="0"/>
          <w:iCs/>
          <w:lang w:val="pt-BR" w:eastAsia="en-US"/>
        </w:rPr>
        <w:t>prestação dos</w:t>
      </w:r>
      <w:r>
        <w:rPr>
          <w:rFonts w:ascii="Arial" w:hAnsi="Arial" w:cs="Arial"/>
          <w:b/>
          <w:bCs w:val="0"/>
          <w:iCs/>
          <w:lang w:val="pt-BR" w:eastAsia="en-US"/>
        </w:rPr>
        <w:t xml:space="preserve"> </w:t>
      </w:r>
      <w:r>
        <w:rPr>
          <w:rFonts w:hint="default" w:ascii="Arial" w:hAnsi="Arial" w:cs="Arial"/>
          <w:b/>
          <w:bCs w:val="0"/>
          <w:iCs/>
          <w:lang w:val="pt-BR" w:eastAsia="en-US"/>
        </w:rPr>
        <w:t>serviços técnicos de engenharia e serviços especializados para montagem, instalação, logística de transporte, decoração, manutenção corretiva e preventiva e desmontagem para realizar o trabalho de ornamentação natalina da 6ª edição do evento “Um Encanto de Natal”</w:t>
      </w:r>
      <w:r>
        <w:rPr>
          <w:rFonts w:ascii="Arial" w:hAnsi="Arial" w:cs="Arial"/>
          <w:b/>
          <w:bCs w:val="0"/>
          <w:iCs/>
          <w:lang w:val="pt-BR" w:eastAsia="en-US"/>
        </w:rPr>
        <w:t>, para atender as necessidades da Secretaria Municipal de Turismo</w:t>
      </w:r>
      <w:r>
        <w:rPr>
          <w:rFonts w:ascii="Arial" w:hAnsi="Arial" w:cs="Arial"/>
          <w:bCs/>
          <w:iCs/>
          <w:lang w:val="pt-BR" w:eastAsia="en-US"/>
        </w:rPr>
        <w:t>,</w:t>
      </w:r>
      <w:r>
        <w:rPr>
          <w:rFonts w:hint="default" w:ascii="Arial" w:hAnsi="Arial" w:cs="Arial"/>
          <w:bCs/>
          <w:iCs/>
          <w:lang w:val="pt-BR" w:eastAsia="en-US"/>
        </w:rPr>
        <w:t xml:space="preserve"> </w:t>
      </w:r>
      <w:r>
        <w:rPr>
          <w:rFonts w:ascii="Arial" w:hAnsi="Arial" w:cs="Arial"/>
          <w:bCs/>
          <w:iCs/>
        </w:rPr>
        <w:t>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t>artigo 105 da Lei n° 14.133, de 2021</w:t>
      </w:r>
      <w:r>
        <w:fldChar w:fldCharType="end"/>
      </w:r>
      <w:r>
        <w:rPr>
          <w:rFonts w:ascii="Arial" w:hAnsi="Arial" w:cs="Arial"/>
          <w:bCs/>
          <w:iCs/>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MODELO DE EXECUÇÃO DO OBJETO (arts. 6º, XXIII, alínea “e” e 40, §1º, inciso II,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 O serviço será entregue nos seguintes prazos e condições: </w:t>
      </w:r>
    </w:p>
    <w:tbl>
      <w:tblPr>
        <w:tblStyle w:val="17"/>
        <w:tblW w:w="8963" w:type="dxa"/>
        <w:tblInd w:w="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 w:type="dxa"/>
          <w:bottom w:w="0" w:type="dxa"/>
          <w:right w:w="103" w:type="dxa"/>
        </w:tblCellMar>
      </w:tblPr>
      <w:tblGrid>
        <w:gridCol w:w="1539"/>
        <w:gridCol w:w="4674"/>
        <w:gridCol w:w="1407"/>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 w:type="dxa"/>
            <w:bottom w:w="0" w:type="dxa"/>
            <w:right w:w="103" w:type="dxa"/>
          </w:tblCellMar>
        </w:tblPrEx>
        <w:tc>
          <w:tcPr>
            <w:tcW w:w="8963" w:type="dxa"/>
            <w:gridSpan w:val="4"/>
            <w:tcMar>
              <w:left w:w="-5" w:type="dxa"/>
            </w:tcMa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Serviço de Restauração, Transporte, Montagem, Instalação,</w:t>
            </w:r>
          </w:p>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Manutenção e Desmontagem de Peças Ornamentais Natalinas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 w:type="dxa"/>
            <w:bottom w:w="0" w:type="dxa"/>
            <w:right w:w="103" w:type="dxa"/>
          </w:tblCellMar>
        </w:tblPrEx>
        <w:tc>
          <w:tcPr>
            <w:tcW w:w="1296" w:type="dxa"/>
            <w:tcBorders>
              <w:top w:val="nil"/>
            </w:tcBorders>
            <w:shd w:val="clear" w:color="auto" w:fill="DDDDDD"/>
            <w:tcMar>
              <w:left w:w="-5" w:type="dxa"/>
            </w:tcMar>
          </w:tcPr>
          <w:p>
            <w:pPr>
              <w:pStyle w:val="19"/>
              <w:widowControl/>
              <w:tabs>
                <w:tab w:val="left" w:pos="426"/>
              </w:tabs>
              <w:autoSpaceDE/>
              <w:autoSpaceDN/>
              <w:spacing w:before="120" w:after="120" w:line="276" w:lineRule="auto"/>
              <w:ind w:left="0"/>
              <w:jc w:val="center"/>
              <w:rPr>
                <w:rFonts w:hint="default" w:ascii="Arial" w:hAnsi="Arial" w:cs="Arial"/>
                <w:b/>
                <w:bCs w:val="0"/>
                <w:iCs/>
                <w:lang w:val="pt-BR"/>
              </w:rPr>
            </w:pPr>
            <w:r>
              <w:rPr>
                <w:rFonts w:hint="default" w:ascii="Arial" w:hAnsi="Arial" w:cs="Arial"/>
                <w:b/>
                <w:bCs w:val="0"/>
                <w:iCs/>
                <w:lang w:val="pt-BR"/>
              </w:rPr>
              <w:t>Serviço</w:t>
            </w:r>
          </w:p>
        </w:tc>
        <w:tc>
          <w:tcPr>
            <w:tcW w:w="4881" w:type="dxa"/>
            <w:tcBorders>
              <w:top w:val="nil"/>
            </w:tcBorders>
            <w:shd w:val="clear" w:color="auto" w:fill="DDDDDD"/>
            <w:tcMar>
              <w:left w:w="-5" w:type="dxa"/>
            </w:tcMar>
          </w:tcPr>
          <w:p>
            <w:pPr>
              <w:pStyle w:val="19"/>
              <w:widowControl/>
              <w:tabs>
                <w:tab w:val="left" w:pos="426"/>
              </w:tabs>
              <w:autoSpaceDE/>
              <w:autoSpaceDN/>
              <w:spacing w:before="120" w:after="120" w:line="276" w:lineRule="auto"/>
              <w:ind w:left="0"/>
              <w:jc w:val="center"/>
              <w:rPr>
                <w:rFonts w:hint="default" w:ascii="Arial" w:hAnsi="Arial" w:cs="Arial"/>
                <w:b/>
                <w:bCs w:val="0"/>
                <w:iCs/>
                <w:lang w:val="pt-BR"/>
              </w:rPr>
            </w:pPr>
            <w:r>
              <w:rPr>
                <w:rFonts w:hint="default" w:ascii="Arial" w:hAnsi="Arial" w:cs="Arial"/>
                <w:b/>
                <w:bCs w:val="0"/>
                <w:iCs/>
                <w:lang w:val="pt-BR"/>
              </w:rPr>
              <w:t>Detalhamento</w:t>
            </w:r>
          </w:p>
        </w:tc>
        <w:tc>
          <w:tcPr>
            <w:tcW w:w="1425" w:type="dxa"/>
            <w:tcBorders>
              <w:top w:val="nil"/>
              <w:left w:val="nil"/>
              <w:right w:val="nil"/>
            </w:tcBorders>
            <w:shd w:val="clear" w:color="auto" w:fill="DDDDDD"/>
            <w:tcMar>
              <w:left w:w="63" w:type="dxa"/>
            </w:tcMar>
          </w:tcPr>
          <w:p>
            <w:pPr>
              <w:pStyle w:val="19"/>
              <w:widowControl/>
              <w:tabs>
                <w:tab w:val="left" w:pos="426"/>
              </w:tabs>
              <w:autoSpaceDE/>
              <w:autoSpaceDN/>
              <w:spacing w:before="120" w:after="120" w:line="276" w:lineRule="auto"/>
              <w:ind w:left="0"/>
              <w:jc w:val="center"/>
              <w:rPr>
                <w:rFonts w:hint="default" w:ascii="Arial" w:hAnsi="Arial" w:cs="Arial"/>
                <w:b/>
                <w:bCs w:val="0"/>
                <w:iCs/>
                <w:lang w:val="pt-BR"/>
              </w:rPr>
            </w:pPr>
            <w:r>
              <w:rPr>
                <w:rFonts w:hint="default" w:ascii="Arial" w:hAnsi="Arial" w:cs="Arial"/>
                <w:b/>
                <w:bCs w:val="0"/>
                <w:iCs/>
                <w:lang w:val="pt-BR"/>
              </w:rPr>
              <w:t>Início</w:t>
            </w:r>
          </w:p>
        </w:tc>
        <w:tc>
          <w:tcPr>
            <w:tcW w:w="1361" w:type="dxa"/>
            <w:tcBorders>
              <w:top w:val="nil"/>
            </w:tcBorders>
            <w:shd w:val="clear" w:color="auto" w:fill="DDDDDD"/>
            <w:tcMar>
              <w:left w:w="-5" w:type="dxa"/>
            </w:tcMar>
          </w:tcPr>
          <w:p>
            <w:pPr>
              <w:pStyle w:val="19"/>
              <w:widowControl/>
              <w:tabs>
                <w:tab w:val="left" w:pos="426"/>
              </w:tabs>
              <w:autoSpaceDE/>
              <w:autoSpaceDN/>
              <w:spacing w:before="120" w:after="120" w:line="276" w:lineRule="auto"/>
              <w:ind w:left="0"/>
              <w:jc w:val="center"/>
              <w:rPr>
                <w:rFonts w:hint="default" w:ascii="Arial" w:hAnsi="Arial" w:cs="Arial"/>
                <w:b/>
                <w:bCs w:val="0"/>
                <w:iCs/>
                <w:lang w:val="pt-BR"/>
              </w:rPr>
            </w:pPr>
            <w:r>
              <w:rPr>
                <w:rFonts w:hint="default" w:ascii="Arial" w:hAnsi="Arial" w:cs="Arial"/>
                <w:b/>
                <w:bCs w:val="0"/>
                <w:iCs/>
                <w:lang w:val="pt-BR"/>
              </w:rPr>
              <w:t>Fim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 w:type="dxa"/>
            <w:bottom w:w="0" w:type="dxa"/>
            <w:right w:w="103" w:type="dxa"/>
          </w:tblCellMar>
        </w:tblPrEx>
        <w:tc>
          <w:tcPr>
            <w:tcW w:w="1296"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Restauração e Reparo</w:t>
            </w:r>
          </w:p>
        </w:tc>
        <w:tc>
          <w:tcPr>
            <w:tcW w:w="4881"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Reparo e manutenção das peças ornamentais natalinas para que todas estejam em condições de uso no momento da instalação</w:t>
            </w:r>
          </w:p>
        </w:tc>
        <w:tc>
          <w:tcPr>
            <w:tcW w:w="1425" w:type="dxa"/>
            <w:tcBorders>
              <w:left w:val="nil"/>
              <w:right w:val="nil"/>
            </w:tcBorders>
            <w:tcMar>
              <w:left w:w="63"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01 de setembro de 2026</w:t>
            </w:r>
          </w:p>
        </w:tc>
        <w:tc>
          <w:tcPr>
            <w:tcW w:w="1361"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Até 30 de setembro de 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 w:type="dxa"/>
            <w:bottom w:w="0" w:type="dxa"/>
            <w:right w:w="103" w:type="dxa"/>
          </w:tblCellMar>
        </w:tblPrEx>
        <w:tc>
          <w:tcPr>
            <w:tcW w:w="1296"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Transporte, Montagem e Instalação</w:t>
            </w:r>
          </w:p>
        </w:tc>
        <w:tc>
          <w:tcPr>
            <w:tcW w:w="4881"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Transporte, montagem e instalação de todas as peças ornamentais natalinas conforme orientação da Secretaria Municipal de Turismo</w:t>
            </w:r>
          </w:p>
        </w:tc>
        <w:tc>
          <w:tcPr>
            <w:tcW w:w="1425" w:type="dxa"/>
            <w:tcBorders>
              <w:left w:val="nil"/>
              <w:right w:val="nil"/>
            </w:tcBorders>
            <w:tcMar>
              <w:left w:w="63"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01 de outubro de 2026</w:t>
            </w:r>
          </w:p>
        </w:tc>
        <w:tc>
          <w:tcPr>
            <w:tcW w:w="1361"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01 de novembro de 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 w:type="dxa"/>
            <w:bottom w:w="0" w:type="dxa"/>
            <w:right w:w="103" w:type="dxa"/>
          </w:tblCellMar>
        </w:tblPrEx>
        <w:tc>
          <w:tcPr>
            <w:tcW w:w="1296"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Manutenção Preventiva e Corretiva</w:t>
            </w:r>
          </w:p>
        </w:tc>
        <w:tc>
          <w:tcPr>
            <w:tcW w:w="4881"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Reparo e manutenção das peças ornamentais natalinas durante o evento</w:t>
            </w:r>
          </w:p>
        </w:tc>
        <w:tc>
          <w:tcPr>
            <w:tcW w:w="1425" w:type="dxa"/>
            <w:tcBorders>
              <w:left w:val="nil"/>
              <w:right w:val="nil"/>
            </w:tcBorders>
            <w:tcMar>
              <w:left w:w="63"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01 de novembro de 2026</w:t>
            </w:r>
          </w:p>
        </w:tc>
        <w:tc>
          <w:tcPr>
            <w:tcW w:w="1361"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14 de fevereiro de 2027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 w:type="dxa"/>
            <w:bottom w:w="0" w:type="dxa"/>
            <w:right w:w="103" w:type="dxa"/>
          </w:tblCellMar>
        </w:tblPrEx>
        <w:tc>
          <w:tcPr>
            <w:tcW w:w="1296"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Desmontagem e Desinstalação</w:t>
            </w:r>
          </w:p>
        </w:tc>
        <w:tc>
          <w:tcPr>
            <w:tcW w:w="4881"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Desmontagem e retirada das peças, com transporte e armazenamento no galpão de eventos (exceto tubos de sustentação)</w:t>
            </w:r>
          </w:p>
        </w:tc>
        <w:tc>
          <w:tcPr>
            <w:tcW w:w="1425" w:type="dxa"/>
            <w:tcBorders>
              <w:left w:val="nil"/>
              <w:right w:val="nil"/>
            </w:tcBorders>
            <w:tcMar>
              <w:left w:w="63"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04 de janeiro de 2027</w:t>
            </w:r>
          </w:p>
        </w:tc>
        <w:tc>
          <w:tcPr>
            <w:tcW w:w="1361" w:type="dxa"/>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17 de janeiro de 2027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 w:type="dxa"/>
            <w:bottom w:w="0" w:type="dxa"/>
            <w:right w:w="103" w:type="dxa"/>
          </w:tblCellMar>
        </w:tblPrEx>
        <w:tc>
          <w:tcPr>
            <w:tcW w:w="1296" w:type="dxa"/>
            <w:tcBorders>
              <w:top w:val="nil"/>
            </w:tcBorders>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Retirada dos Tubos de Sustentação</w:t>
            </w:r>
          </w:p>
        </w:tc>
        <w:tc>
          <w:tcPr>
            <w:tcW w:w="4881" w:type="dxa"/>
            <w:tcBorders>
              <w:top w:val="nil"/>
            </w:tcBorders>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Retirada dos tubos de sustentação, com transporte e armazenamento no galpão de eventos.</w:t>
            </w:r>
          </w:p>
        </w:tc>
        <w:tc>
          <w:tcPr>
            <w:tcW w:w="1425" w:type="dxa"/>
            <w:tcBorders>
              <w:top w:val="nil"/>
              <w:left w:val="nil"/>
              <w:right w:val="nil"/>
            </w:tcBorders>
            <w:tcMar>
              <w:left w:w="63"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13 de fevereiro de 2027</w:t>
            </w:r>
          </w:p>
        </w:tc>
        <w:tc>
          <w:tcPr>
            <w:tcW w:w="1361" w:type="dxa"/>
            <w:tcBorders>
              <w:top w:val="nil"/>
            </w:tcBorders>
            <w:tcMar>
              <w:left w:w="-5" w:type="dxa"/>
            </w:tcMar>
            <w:vAlign w:val="center"/>
          </w:tcPr>
          <w:p>
            <w:pPr>
              <w:pStyle w:val="19"/>
              <w:widowControl/>
              <w:tabs>
                <w:tab w:val="left" w:pos="426"/>
              </w:tabs>
              <w:autoSpaceDE/>
              <w:autoSpaceDN/>
              <w:spacing w:before="120" w:after="120" w:line="276" w:lineRule="auto"/>
              <w:ind w:left="0"/>
              <w:jc w:val="center"/>
              <w:rPr>
                <w:rFonts w:hint="default" w:ascii="Arial" w:hAnsi="Arial" w:cs="Arial"/>
                <w:bCs/>
                <w:iCs/>
                <w:lang w:val="pt-BR"/>
              </w:rPr>
            </w:pPr>
            <w:r>
              <w:rPr>
                <w:rFonts w:hint="default" w:ascii="Arial" w:hAnsi="Arial" w:cs="Arial"/>
                <w:bCs/>
                <w:iCs/>
                <w:lang w:val="pt-BR"/>
              </w:rPr>
              <w:t>14 de fevereiro de 2027</w:t>
            </w:r>
          </w:p>
        </w:tc>
      </w:tr>
    </w:tbl>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Para restauração/manutenção do material elétrico a contratada poderá utilizar o galpão de eventos da Secretaria de Turismo, localizado na Rua Arídio Da Rosa Pinheiro, N.242, Lote A, Conselheiro Paulino (Jardim Califórnia).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Quando necessária manutenção/reparo das peças, o material utilizado deverá ser de qualidade igual ou superior ao da peça na qual será feita a manutenção.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w:t>
      </w:r>
      <w:r>
        <w:rPr>
          <w:rFonts w:hint="default" w:ascii="Arial" w:hAnsi="Arial" w:cs="Arial"/>
          <w:bCs/>
          <w:iCs/>
          <w:u w:val="single"/>
          <w:lang w:val="pt-BR"/>
        </w:rPr>
        <w:t xml:space="preserve"> Não será autorizada a utilização do galpão de eventos </w:t>
      </w:r>
      <w:r>
        <w:rPr>
          <w:rFonts w:hint="default" w:ascii="Arial" w:hAnsi="Arial" w:cs="Arial"/>
          <w:bCs/>
          <w:iCs/>
          <w:lang w:val="pt-BR"/>
        </w:rPr>
        <w:t>para restauração e manutenção dos materiais de fibra. A empresa deverá utilizar um local próprio para este serviço.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Caso não seja possível a entrega na data assinalada, a empresa deverá comunicar as razões respectivas com pelo menos 7 dias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3.1.6 </w:t>
      </w:r>
      <w:r>
        <w:rPr>
          <w:rFonts w:hint="default" w:ascii="Arial" w:hAnsi="Arial" w:cs="Arial"/>
          <w:bCs/>
          <w:iCs/>
          <w:u w:val="single"/>
          <w:lang w:val="pt-BR"/>
        </w:rPr>
        <w:t>Após a desmontagem do evento, a contratada deverá limpar todas as peças e armazenar no galpão de eventos conforme estavam no momento da retirada.</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3.2</w:t>
      </w:r>
      <w:r>
        <w:rPr>
          <w:rFonts w:hint="default" w:ascii="Arial" w:hAnsi="Arial" w:cs="Arial"/>
          <w:bCs/>
          <w:iCs/>
          <w:u w:val="single"/>
          <w:lang w:val="pt-BR"/>
        </w:rPr>
        <w:t xml:space="preserve"> MODELO DE GESTÃO DO CONTRATO (art. 6º, XXIII, alínea “f”, da Lei nº 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3" w:name="art116"/>
      <w:bookmarkEnd w:id="3"/>
      <w:r>
        <w:rPr>
          <w:rFonts w:hint="default" w:ascii="Arial" w:hAnsi="Arial" w:cs="Arial"/>
          <w:bCs/>
          <w:iCs/>
          <w:lang w:val="pt-BR"/>
        </w:rPr>
        <w:t>3.2.2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3.2.2.1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4" w:name="art117%C2%A72"/>
      <w:bookmarkEnd w:id="4"/>
      <w:r>
        <w:rPr>
          <w:rFonts w:hint="default" w:ascii="Arial" w:hAnsi="Arial" w:cs="Arial"/>
          <w:bCs/>
          <w:iCs/>
          <w:lang w:val="pt-BR"/>
        </w:rPr>
        <w:t xml:space="preserve">3.2.2.2 O fiscal do contrato informará a seus superiores, em tempo hábil para a adoção das medidas </w:t>
      </w:r>
      <w:r>
        <w:rPr>
          <w:rFonts w:hint="default" w:ascii="Arial" w:hAnsi="Arial" w:cs="Arial"/>
          <w:bCs/>
          <w:iCs/>
          <w:lang w:val="pt-BR"/>
        </w:rPr>
        <w:tab/>
      </w:r>
      <w:r>
        <w:rPr>
          <w:rFonts w:hint="default" w:ascii="Arial" w:hAnsi="Arial" w:cs="Arial"/>
          <w:bCs/>
          <w:iCs/>
          <w:lang w:val="pt-BR"/>
        </w:rPr>
        <w:t xml:space="preserve">convenientes, a situação que demandar decisão ou providência que ultrapasse sua competência (Lei nº </w:t>
      </w:r>
      <w:r>
        <w:rPr>
          <w:rFonts w:hint="default" w:ascii="Arial" w:hAnsi="Arial" w:cs="Arial"/>
          <w:bCs/>
          <w:iCs/>
          <w:lang w:val="pt-BR"/>
        </w:rPr>
        <w:tab/>
      </w:r>
      <w:r>
        <w:rPr>
          <w:rFonts w:hint="default" w:ascii="Arial" w:hAnsi="Arial" w:cs="Arial"/>
          <w:bCs/>
          <w:iCs/>
          <w:lang w:val="pt-BR"/>
        </w:rPr>
        <w:t>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5" w:name="art120"/>
      <w:bookmarkEnd w:id="5"/>
      <w:r>
        <w:rPr>
          <w:rFonts w:hint="default" w:ascii="Arial" w:hAnsi="Arial" w:cs="Arial"/>
          <w:bCs/>
          <w:iCs/>
          <w:lang w:val="pt-BR"/>
        </w:rPr>
        <w:t>3.2.3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6" w:name="art121"/>
      <w:bookmarkEnd w:id="6"/>
      <w:r>
        <w:rPr>
          <w:rFonts w:hint="default" w:ascii="Arial" w:hAnsi="Arial" w:cs="Arial"/>
          <w:bCs/>
          <w:iCs/>
          <w:lang w:val="pt-BR"/>
        </w:rPr>
        <w:t>3.2.4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7" w:name="art121%C2%A71"/>
      <w:bookmarkEnd w:id="7"/>
      <w:r>
        <w:rPr>
          <w:rFonts w:hint="default" w:ascii="Arial" w:hAnsi="Arial" w:cs="Arial"/>
          <w:bCs/>
          <w:iCs/>
          <w:lang w:val="pt-BR"/>
        </w:rPr>
        <w:t>3.2.5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23"/>
      <w:bookmarkEnd w:id="8"/>
      <w:bookmarkStart w:id="9" w:name="art122%C2%A72"/>
      <w:bookmarkEnd w:id="9"/>
      <w:bookmarkStart w:id="10" w:name="art122"/>
      <w:bookmarkEnd w:id="10"/>
      <w:bookmarkStart w:id="11" w:name="art122%C2%A73"/>
      <w:bookmarkEnd w:id="11"/>
      <w:bookmarkStart w:id="12" w:name="art122%C2%A71"/>
      <w:bookmarkEnd w:id="12"/>
      <w:r>
        <w:rPr>
          <w:rFonts w:hint="default" w:ascii="Arial" w:hAnsi="Arial" w:cs="Arial"/>
          <w:bCs/>
          <w:iCs/>
          <w:lang w:val="pt-BR"/>
        </w:rPr>
        <w:t>3.2.6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3.2.7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w:t>
      </w:r>
      <w:r>
        <w:rPr>
          <w:rFonts w:hint="default" w:ascii="Arial" w:hAnsi="Arial" w:cs="Arial"/>
          <w:bCs/>
          <w:iCs/>
          <w:lang w:val="pt-BR" w:eastAsia="en-US"/>
        </w:rPr>
        <w:t xml:space="preserve">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3.2.10</w:t>
      </w:r>
      <w:r>
        <w:rPr>
          <w:rFonts w:hint="default" w:ascii="Arial" w:hAnsi="Arial" w:cs="Arial"/>
          <w:bCs/>
          <w:iCs/>
          <w:lang w:val="pt-BR" w:eastAsia="en-US"/>
        </w:rPr>
        <w:t xml:space="preserve"> Para o acompanhamento, gestão e fiscalização da execução do presente contrato, serão designados em momento posterior, antes da execução do objeto, agentes públicos gestor/gestor substituto e fiscal/fiscal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w:t>
      </w:r>
      <w:r>
        <w:rPr>
          <w:rFonts w:hint="default" w:ascii="Arial" w:hAnsi="Arial" w:cs="Arial"/>
          <w:bCs/>
          <w:iCs/>
          <w:lang w:val="pt-BR" w:eastAsia="en-US"/>
        </w:rPr>
        <w:t xml:space="preserve">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lang w:val="pt-BR" w:eastAsia="en-US"/>
        </w:rPr>
        <w:t>12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lang w:val="pt-BR" w:eastAsia="en-US"/>
        </w:rPr>
        <w:t>.13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w:t>
      </w:r>
      <w:r>
        <w:rPr>
          <w:rFonts w:hint="default" w:ascii="Arial" w:hAnsi="Arial" w:cs="Arial"/>
          <w:bCs/>
          <w:iCs/>
          <w:lang w:val="pt-BR" w:eastAsia="en-US"/>
        </w:rPr>
        <w:t>.14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A aferição da execução contratual para fins de pagamento considerará </w:t>
      </w:r>
      <w:r>
        <w:rPr>
          <w:rFonts w:hint="default" w:ascii="Arial" w:hAnsi="Arial" w:cs="Arial"/>
          <w:bCs/>
          <w:iCs/>
          <w:color w:val="auto"/>
          <w:lang w:val="pt-BR"/>
        </w:rPr>
        <w:t>o</w:t>
      </w:r>
      <w:r>
        <w:rPr>
          <w:rFonts w:ascii="Arial" w:hAnsi="Arial" w:cs="Arial"/>
          <w:bCs/>
          <w:iCs/>
          <w:color w:val="auto"/>
        </w:rPr>
        <w:t xml:space="preserve"> Cronograma</w:t>
      </w:r>
      <w:r>
        <w:rPr>
          <w:rFonts w:hint="default" w:ascii="Arial" w:hAnsi="Arial" w:cs="Arial"/>
          <w:bCs/>
          <w:iCs/>
          <w:color w:val="auto"/>
          <w:lang w:val="pt-BR"/>
        </w:rPr>
        <w:t xml:space="preserve"> de Desembolso constante no item 7.4 do Termo de Referência, integrante do Edital.</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 Nota Fiscal deverá ser emitida em nome de: </w:t>
      </w:r>
      <w:r>
        <w:rPr>
          <w:rFonts w:hint="default" w:ascii="Arial" w:hAnsi="Arial" w:cs="Arial" w:eastAsiaTheme="majorEastAsia"/>
          <w:b/>
          <w:bCs/>
          <w:lang w:val="en-US" w:eastAsia="pt-BR"/>
        </w:rPr>
        <w:t>Município de Nova Friburgo, CNPJ: 28.606.630/0001-23., ENDEREÇO: Avenida Alberto Braune, 225 – Centro Nova Friburgo – RJ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w:t>
      </w:r>
      <w:r>
        <w:rPr>
          <w:rFonts w:hint="default" w:ascii="Arial" w:hAnsi="Arial" w:cs="Arial" w:eastAsiaTheme="majorEastAsia"/>
          <w:b w:val="0"/>
          <w:bCs w:val="0"/>
          <w:u w:val="single"/>
          <w:lang w:val="en-US" w:eastAsia="pt-BR"/>
        </w:rPr>
        <w:t xml:space="preserve"> 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6.2.1 A liquidação será realizada pela Secretaria Municipal de Fazenda, a partir do cumprimento das obrigações elencadas no Termo de Referência, </w:t>
      </w:r>
      <w:r>
        <w:rPr>
          <w:rFonts w:hint="default" w:ascii="Arial" w:hAnsi="Arial" w:cs="Arial" w:eastAsiaTheme="majorEastAsia"/>
          <w:b/>
          <w:bCs/>
          <w:lang w:val="en-US" w:eastAsia="pt-BR"/>
        </w:rPr>
        <w:t>conforme o cronograma de desembolso apresentado no Item 6.4,</w:t>
      </w:r>
      <w:r>
        <w:rPr>
          <w:rFonts w:hint="default" w:ascii="Arial" w:hAnsi="Arial" w:cs="Arial" w:eastAsiaTheme="majorEastAsia"/>
          <w:b w:val="0"/>
          <w:bCs w:val="0"/>
          <w:lang w:val="en-US" w:eastAsia="pt-BR"/>
        </w:rPr>
        <w:t xml:space="preserve"> em obediência ao Decreto nº 2493, de 07 de novembro de 2023, https://pmnf.rj.gov.br/paginas-centralizadas/9_64_Legislacoes.html.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w:t>
      </w:r>
      <w:r>
        <w:rPr>
          <w:rFonts w:hint="default" w:ascii="Arial" w:hAnsi="Arial" w:cs="Arial" w:eastAsiaTheme="majorEastAsia"/>
          <w:b w:val="0"/>
          <w:bCs w:val="0"/>
          <w:u w:val="single"/>
          <w:lang w:val="en-US" w:eastAsia="pt-BR"/>
        </w:rPr>
        <w:t xml:space="preserve"> 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estabelecido no Decreto Municipal nº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6.3.2 A Nota Fiscal deverá conter a identificação do Banco, número da Agência e da Conta </w:t>
      </w:r>
      <w:bookmarkStart w:id="14" w:name="_GoBack"/>
      <w:bookmarkEnd w:id="14"/>
      <w:r>
        <w:rPr>
          <w:rFonts w:hint="default" w:ascii="Arial" w:hAnsi="Arial" w:cs="Arial" w:eastAsiaTheme="majorEastAsia"/>
          <w:b w:val="0"/>
          <w:bCs w:val="0"/>
          <w:lang w:val="en-US" w:eastAsia="pt-BR"/>
        </w:rPr>
        <w:t xml:space="preserve">Corrente, para que possibilite o CONTRATANTE efetuar o pagamento do valor devido;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 A aferição da execução contratual para fins de pagamento considerará o seguinte Cronograma de Desembolso:</w:t>
      </w:r>
    </w:p>
    <w:tbl>
      <w:tblPr>
        <w:tblStyle w:val="6"/>
        <w:tblW w:w="9570" w:type="dxa"/>
        <w:tblInd w:w="-2" w:type="dxa"/>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Layout w:type="autofit"/>
        <w:tblCellMar>
          <w:top w:w="55" w:type="dxa"/>
          <w:left w:w="-2" w:type="dxa"/>
          <w:bottom w:w="55" w:type="dxa"/>
          <w:right w:w="53" w:type="dxa"/>
        </w:tblCellMar>
      </w:tblPr>
      <w:tblGrid>
        <w:gridCol w:w="569"/>
        <w:gridCol w:w="3734"/>
        <w:gridCol w:w="1279"/>
        <w:gridCol w:w="3988"/>
      </w:tblGrid>
      <w:tr>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55" w:type="dxa"/>
            <w:left w:w="-2" w:type="dxa"/>
            <w:bottom w:w="55" w:type="dxa"/>
            <w:right w:w="53" w:type="dxa"/>
          </w:tblCellMar>
        </w:tblPrEx>
        <w:tc>
          <w:tcPr>
            <w:tcW w:w="570" w:type="dxa"/>
            <w:tcBorders>
              <w:top w:val="single" w:color="000001" w:sz="2" w:space="0"/>
              <w:left w:val="single" w:color="000001" w:sz="2" w:space="0"/>
              <w:bottom w:val="single" w:color="000001" w:sz="2" w:space="0"/>
              <w:right w:val="single" w:color="000001" w:sz="2" w:space="0"/>
            </w:tcBorders>
            <w:shd w:val="clear" w:color="auto" w:fill="DDDDDD"/>
            <w:tcMar>
              <w:left w:w="-2" w:type="dxa"/>
            </w:tcMa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Meta</w:t>
            </w:r>
          </w:p>
        </w:tc>
        <w:tc>
          <w:tcPr>
            <w:tcW w:w="3765" w:type="dxa"/>
            <w:tcBorders>
              <w:top w:val="single" w:color="000001" w:sz="2" w:space="0"/>
              <w:left w:val="single" w:color="000001" w:sz="2" w:space="0"/>
              <w:bottom w:val="single" w:color="000001" w:sz="2" w:space="0"/>
              <w:right w:val="single" w:color="000001" w:sz="2" w:space="0"/>
            </w:tcBorders>
            <w:shd w:val="clear" w:color="auto" w:fill="DDDDDD"/>
            <w:tcMar>
              <w:left w:w="-2" w:type="dxa"/>
            </w:tcMa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Especificação</w:t>
            </w:r>
          </w:p>
        </w:tc>
        <w:tc>
          <w:tcPr>
            <w:tcW w:w="1155" w:type="dxa"/>
            <w:tcBorders>
              <w:top w:val="single" w:color="000001" w:sz="2" w:space="0"/>
              <w:left w:val="single" w:color="000001" w:sz="2" w:space="0"/>
              <w:bottom w:val="single" w:color="000001" w:sz="2" w:space="0"/>
              <w:right w:val="single" w:color="000001" w:sz="2" w:space="0"/>
            </w:tcBorders>
            <w:shd w:val="clear" w:color="auto" w:fill="DDDDDD"/>
            <w:tcMar>
              <w:left w:w="-2" w:type="dxa"/>
            </w:tcMa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Desembolso</w:t>
            </w:r>
          </w:p>
        </w:tc>
        <w:tc>
          <w:tcPr>
            <w:tcW w:w="4080" w:type="dxa"/>
            <w:tcBorders>
              <w:top w:val="single" w:color="000001" w:sz="2" w:space="0"/>
              <w:left w:val="single" w:color="000001" w:sz="2" w:space="0"/>
              <w:bottom w:val="single" w:color="000001" w:sz="2" w:space="0"/>
              <w:right w:val="single" w:color="000001" w:sz="2" w:space="0"/>
            </w:tcBorders>
            <w:shd w:val="clear" w:color="auto" w:fill="DDDDDD"/>
            <w:tcMar>
              <w:left w:w="-2" w:type="dxa"/>
            </w:tcMa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Conclusão de Meta</w:t>
            </w:r>
          </w:p>
        </w:tc>
      </w:tr>
      <w:tr>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55" w:type="dxa"/>
            <w:left w:w="-2" w:type="dxa"/>
            <w:bottom w:w="55" w:type="dxa"/>
            <w:right w:w="53" w:type="dxa"/>
          </w:tblCellMar>
        </w:tblPrEx>
        <w:tc>
          <w:tcPr>
            <w:tcW w:w="570"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1</w:t>
            </w:r>
          </w:p>
        </w:tc>
        <w:tc>
          <w:tcPr>
            <w:tcW w:w="3765"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Restauração/Reforma das peças ornamentais e itens luminosos.</w:t>
            </w:r>
          </w:p>
        </w:tc>
        <w:tc>
          <w:tcPr>
            <w:tcW w:w="1155"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40%</w:t>
            </w:r>
          </w:p>
        </w:tc>
        <w:tc>
          <w:tcPr>
            <w:tcW w:w="4080"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Somente será considerada concluída após vistoria da restauração.</w:t>
            </w:r>
          </w:p>
        </w:tc>
      </w:tr>
      <w:tr>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55" w:type="dxa"/>
            <w:left w:w="-2" w:type="dxa"/>
            <w:bottom w:w="55" w:type="dxa"/>
            <w:right w:w="53" w:type="dxa"/>
          </w:tblCellMar>
        </w:tblPrEx>
        <w:tc>
          <w:tcPr>
            <w:tcW w:w="570"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2</w:t>
            </w:r>
          </w:p>
        </w:tc>
        <w:tc>
          <w:tcPr>
            <w:tcW w:w="3765"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Transporte e instalação.</w:t>
            </w:r>
          </w:p>
        </w:tc>
        <w:tc>
          <w:tcPr>
            <w:tcW w:w="1155"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40%</w:t>
            </w:r>
          </w:p>
        </w:tc>
        <w:tc>
          <w:tcPr>
            <w:tcW w:w="4080"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Somente será considerada concluída após teste de funcionamento da iluminação e conferência da instalação das peças.</w:t>
            </w:r>
          </w:p>
        </w:tc>
      </w:tr>
      <w:tr>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55" w:type="dxa"/>
            <w:left w:w="-2" w:type="dxa"/>
            <w:bottom w:w="55" w:type="dxa"/>
            <w:right w:w="53" w:type="dxa"/>
          </w:tblCellMar>
        </w:tblPrEx>
        <w:tc>
          <w:tcPr>
            <w:tcW w:w="570"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w:t>
            </w:r>
          </w:p>
        </w:tc>
        <w:tc>
          <w:tcPr>
            <w:tcW w:w="3765"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Desinstalação/Desmontagem e transporte da ornamentação até o galpão.</w:t>
            </w:r>
          </w:p>
        </w:tc>
        <w:tc>
          <w:tcPr>
            <w:tcW w:w="1155"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10%</w:t>
            </w:r>
          </w:p>
        </w:tc>
        <w:tc>
          <w:tcPr>
            <w:tcW w:w="4080" w:type="dxa"/>
            <w:tcBorders>
              <w:top w:val="single" w:color="000001" w:sz="2" w:space="0"/>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Somente será considerada concluída após retirada integral das peças e armazenamento no galpão.</w:t>
            </w:r>
          </w:p>
        </w:tc>
      </w:tr>
      <w:tr>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55" w:type="dxa"/>
            <w:left w:w="-2" w:type="dxa"/>
            <w:bottom w:w="55" w:type="dxa"/>
            <w:right w:w="53" w:type="dxa"/>
          </w:tblCellMar>
        </w:tblPrEx>
        <w:tc>
          <w:tcPr>
            <w:tcW w:w="570" w:type="dxa"/>
            <w:tcBorders>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4</w:t>
            </w:r>
          </w:p>
        </w:tc>
        <w:tc>
          <w:tcPr>
            <w:tcW w:w="3765" w:type="dxa"/>
            <w:tcBorders>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Manutenção corretiva e retirada dos tubos de sustentação com transporte até o galpão.</w:t>
            </w:r>
          </w:p>
        </w:tc>
        <w:tc>
          <w:tcPr>
            <w:tcW w:w="1155" w:type="dxa"/>
            <w:tcBorders>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10%</w:t>
            </w:r>
          </w:p>
        </w:tc>
        <w:tc>
          <w:tcPr>
            <w:tcW w:w="4080" w:type="dxa"/>
            <w:tcBorders>
              <w:left w:val="single" w:color="000001" w:sz="2" w:space="0"/>
              <w:bottom w:val="single" w:color="000001" w:sz="2" w:space="0"/>
              <w:right w:val="single" w:color="000001" w:sz="2" w:space="0"/>
            </w:tcBorders>
            <w:tcMar>
              <w:left w:w="-2" w:type="dxa"/>
            </w:tcMar>
            <w:vAlign w:val="center"/>
          </w:tcPr>
          <w:p>
            <w:pPr>
              <w:pStyle w:val="19"/>
              <w:tabs>
                <w:tab w:val="left" w:pos="284"/>
              </w:tabs>
              <w:spacing w:line="276" w:lineRule="auto"/>
              <w:ind w:left="0"/>
              <w:jc w:val="center"/>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Somente será considerada concluída após retirada integral dos tubos e armazenamento no galpão.</w:t>
            </w:r>
          </w:p>
        </w:tc>
      </w:tr>
    </w:tbl>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 A definição da percentagem para o cronograma de desembolso considerou os valores ofertados pela proposta vencedora do Pregão Eletrônico nº 90.118/2025, conforme é possível verificar no seguinte link: https://www.pmnf.rj.gov.br/licitacao/view/369/pregao-eletronico-n-901182025</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6.6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pPr>
        <w:pStyle w:val="19"/>
        <w:widowControl/>
        <w:numPr>
          <w:ilvl w:val="0"/>
          <w:numId w:val="0"/>
        </w:numPr>
        <w:tabs>
          <w:tab w:val="left" w:pos="426"/>
        </w:tabs>
        <w:autoSpaceDE/>
        <w:autoSpaceDN/>
        <w:spacing w:before="120" w:after="120" w:line="276" w:lineRule="auto"/>
        <w:ind w:left="142" w:leftChars="0"/>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highlight w:val="yellow"/>
          <w:lang w:eastAsia="pt-BR"/>
        </w:rPr>
      </w:pPr>
      <w:r>
        <w:rPr>
          <w:rFonts w:ascii="Arial" w:hAnsi="Arial" w:cs="Arial" w:eastAsiaTheme="majorEastAsia"/>
          <w:b/>
          <w:bCs/>
          <w:lang w:val="pt-BR" w:eastAsia="pt-BR"/>
        </w:rPr>
        <w:t xml:space="preserve"> </w:t>
      </w:r>
      <w:r>
        <w:rPr>
          <w:rFonts w:ascii="Arial" w:hAnsi="Arial" w:cs="Arial" w:eastAsiaTheme="majorEastAsia"/>
          <w:b/>
          <w:bCs/>
          <w:lang w:eastAsia="pt-BR"/>
        </w:rPr>
        <w:t xml:space="preserve">CLÁUSULA DÉCIMA- OBRIGAÇÕES PERTINENTES À LGPD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As partes deverão cumprir a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Lei nº 13.709, de 14 de agosto de 2018 (LGPD)</w:t>
      </w:r>
      <w:r>
        <w:rPr>
          <w:rFonts w:ascii="Arial" w:hAnsi="Arial" w:cs="Arial"/>
          <w:bCs/>
          <w:iCs/>
          <w:color w:val="auto"/>
          <w:lang w:val="pt-BR"/>
        </w:rPr>
        <w:fldChar w:fldCharType="end"/>
      </w:r>
      <w:r>
        <w:rPr>
          <w:rFonts w:ascii="Arial" w:hAnsi="Arial" w:cs="Arial"/>
          <w:bCs/>
          <w:iCs/>
          <w:color w:val="auto"/>
          <w:lang w:val="pt-B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dados obtidos somente poderão ser utilizados para as finalidades que justificaram seu acesso e de acordo com a boa-fé e com os princípios do </w:t>
      </w:r>
      <w:r>
        <w:rPr>
          <w:color w:val="auto"/>
        </w:rPr>
        <w:fldChar w:fldCharType="begin"/>
      </w:r>
      <w:r>
        <w:rPr>
          <w:color w:val="auto"/>
        </w:rPr>
        <w:instrText xml:space="preserve"> HYPERLINK "https://www.planalto.gov.br/ccivil_03/_ato2015-2018/2018/lei/l13709.htm" \l "art6" </w:instrText>
      </w:r>
      <w:r>
        <w:rPr>
          <w:color w:val="auto"/>
        </w:rPr>
        <w:fldChar w:fldCharType="separate"/>
      </w:r>
      <w:r>
        <w:rPr>
          <w:rFonts w:ascii="Arial" w:hAnsi="Arial" w:cs="Arial"/>
          <w:bCs/>
          <w:iCs/>
          <w:color w:val="auto"/>
          <w:lang w:val="pt-BR"/>
        </w:rPr>
        <w:t>art. 6º da LGPD</w:t>
      </w:r>
      <w:r>
        <w:rPr>
          <w:rFonts w:ascii="Arial" w:hAnsi="Arial" w:cs="Arial"/>
          <w:bCs/>
          <w:iCs/>
          <w:color w:val="auto"/>
          <w:lang w:val="pt-BR"/>
        </w:rPr>
        <w:fldChar w:fldCharType="end"/>
      </w:r>
      <w:r>
        <w:rPr>
          <w:rFonts w:ascii="Arial" w:hAnsi="Arial" w:cs="Arial"/>
          <w:bCs/>
          <w:iCs/>
          <w:color w:val="auto"/>
          <w:lang w:val="pt-BR"/>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É vedado o compartilhamento com terceiros dos dados obtidos fora das hipóteses permitidas em Lei.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 Administração deverá ser informada no prazo de 5 (cinco) dias úteis sobre todos os contratos de suboperação firmados ou que venham a ser celebrados pelo Contratado.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Terminado o tratamento dos dados nos termos do </w:t>
      </w:r>
      <w:r>
        <w:rPr>
          <w:color w:val="auto"/>
        </w:rPr>
        <w:fldChar w:fldCharType="begin"/>
      </w:r>
      <w:r>
        <w:rPr>
          <w:color w:val="auto"/>
        </w:rPr>
        <w:instrText xml:space="preserve"> HYPERLINK "https://www.planalto.gov.br/ccivil_03/_ato2015-2018/2018/lei/l13709.htm" \l "art15" </w:instrText>
      </w:r>
      <w:r>
        <w:rPr>
          <w:color w:val="auto"/>
        </w:rPr>
        <w:fldChar w:fldCharType="separate"/>
      </w:r>
      <w:r>
        <w:rPr>
          <w:rFonts w:ascii="Arial" w:hAnsi="Arial" w:cs="Arial"/>
          <w:bCs/>
          <w:iCs/>
          <w:color w:val="auto"/>
          <w:lang w:val="pt-BR"/>
        </w:rPr>
        <w:t>art. 15 da LGPD</w:t>
      </w:r>
      <w:r>
        <w:rPr>
          <w:rFonts w:ascii="Arial" w:hAnsi="Arial" w:cs="Arial"/>
          <w:bCs/>
          <w:iCs/>
          <w:color w:val="auto"/>
          <w:lang w:val="pt-BR"/>
        </w:rPr>
        <w:fldChar w:fldCharType="end"/>
      </w:r>
      <w:r>
        <w:rPr>
          <w:rFonts w:ascii="Arial" w:hAnsi="Arial" w:cs="Arial"/>
          <w:bCs/>
          <w:iCs/>
          <w:color w:val="auto"/>
          <w:lang w:val="pt-BR"/>
        </w:rPr>
        <w:t xml:space="preserve">, é dever do contratado eliminá-los, com exceção das hipóteses do </w:t>
      </w:r>
      <w:r>
        <w:rPr>
          <w:color w:val="auto"/>
        </w:rPr>
        <w:fldChar w:fldCharType="begin"/>
      </w:r>
      <w:r>
        <w:rPr>
          <w:color w:val="auto"/>
        </w:rPr>
        <w:instrText xml:space="preserve"> HYPERLINK "https://www.planalto.gov.br/ccivil_03/_ato2015-2018/2018/lei/l13709.htm" \l "art16" </w:instrText>
      </w:r>
      <w:r>
        <w:rPr>
          <w:color w:val="auto"/>
        </w:rPr>
        <w:fldChar w:fldCharType="separate"/>
      </w:r>
      <w:r>
        <w:rPr>
          <w:rFonts w:ascii="Arial" w:hAnsi="Arial" w:cs="Arial"/>
          <w:bCs/>
          <w:iCs/>
          <w:color w:val="auto"/>
          <w:lang w:val="pt-BR"/>
        </w:rPr>
        <w:t>art. 16 da LGPD</w:t>
      </w:r>
      <w:r>
        <w:rPr>
          <w:rFonts w:ascii="Arial" w:hAnsi="Arial" w:cs="Arial"/>
          <w:bCs/>
          <w:iCs/>
          <w:color w:val="auto"/>
          <w:lang w:val="pt-BR"/>
        </w:rPr>
        <w:fldChar w:fldCharType="end"/>
      </w:r>
      <w:r>
        <w:rPr>
          <w:rFonts w:ascii="Arial" w:hAnsi="Arial" w:cs="Arial"/>
          <w:bCs/>
          <w:iCs/>
          <w:color w:val="auto"/>
          <w:lang w:val="pt-BR"/>
        </w:rPr>
        <w:t xml:space="preserve">, incluindo aquelas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em que houver necessidade de guarda de documentação para fins de comprovação do cumprimento de obrigações legais ou contratuais e somente enquanto não prescritas essas obrigações.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É dever do contratado orientar e treinar seus empregados sobre os deveres, requisitos e responsabilidades decorrentes da LGPD.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Contratado deverá exigir de suboperadores e subcontratados o cumprimento dos deveres da presente cláusula, permanecendo integralmente responsável por garantir sua observância.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Contratante poderá realizar diligência para aferir o cumprimento dessa cláusula, devendo o Contratado atender prontamente eventuais pedidos de comprovação formulados.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Contratado deverá prestar, no prazo fixado pelo Contratante, prorrogável justificadamente, quaisquer informações acerca dos dados pessoais para cumprimento da LGPD, inclusive quanto a eventual descarte realizado.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Bancos de dados formados a partir de contratos administrativos, notadamente aqueles que se proponham a armazenar dados pessoais, devem ser mantidos em ambiente virtual controlado, com registro individual rastreável de tratamentos realizados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LGPD, art. 37</w:t>
      </w:r>
      <w:r>
        <w:rPr>
          <w:rFonts w:ascii="Arial" w:hAnsi="Arial" w:cs="Arial"/>
          <w:bCs/>
          <w:iCs/>
          <w:color w:val="auto"/>
          <w:lang w:val="pt-BR"/>
        </w:rPr>
        <w:fldChar w:fldCharType="end"/>
      </w:r>
      <w:r>
        <w:rPr>
          <w:rFonts w:ascii="Arial" w:hAnsi="Arial" w:cs="Arial"/>
          <w:bCs/>
          <w:iCs/>
          <w:color w:val="auto"/>
          <w:lang w:val="pt-BR"/>
        </w:rPr>
        <w:t>), com cada acesso, data, horário e registro da finalidade, para efeito de responsabilização, em caso de eventuais omissões, desvios ou abusos.</w:t>
      </w:r>
    </w:p>
    <w:p>
      <w:pPr>
        <w:pStyle w:val="19"/>
        <w:widowControl/>
        <w:numPr>
          <w:ilvl w:val="2"/>
          <w:numId w:val="3"/>
        </w:numPr>
        <w:tabs>
          <w:tab w:val="left" w:pos="993"/>
        </w:tabs>
        <w:autoSpaceDE/>
        <w:autoSpaceDN/>
        <w:spacing w:before="120" w:after="120" w:line="276" w:lineRule="auto"/>
        <w:ind w:left="993" w:hanging="851"/>
        <w:jc w:val="both"/>
        <w:rPr>
          <w:rFonts w:ascii="Arial" w:hAnsi="Arial" w:cs="Arial"/>
          <w:bCs/>
          <w:iCs/>
          <w:color w:val="auto"/>
          <w:lang w:val="pt-BR"/>
        </w:rPr>
      </w:pPr>
      <w:r>
        <w:rPr>
          <w:rFonts w:ascii="Arial" w:hAnsi="Arial" w:cs="Arial"/>
          <w:bCs/>
          <w:iCs/>
          <w:color w:val="auto"/>
          <w:lang w:val="pt-BR"/>
        </w:rPr>
        <w:t>Os referidos bancos de dados devem ser desenvolvidos em formato interoperável, a fim de garantir a reutilização desses dados pela Administração nas hipóteses previstas na LGPD.</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contrato está sujeito a ser alterado nos procedimentos pertinentes ao tratamento de dados pessoais, quando indicado pela autoridade competente, em especial a ANPD por meio de opiniões técnicas ou recomendações, editadas na forma da LGPD.</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contratos e convênios de que trata o </w:t>
      </w:r>
      <w:r>
        <w:rPr>
          <w:color w:val="auto"/>
        </w:rPr>
        <w:fldChar w:fldCharType="begin"/>
      </w:r>
      <w:r>
        <w:rPr>
          <w:color w:val="auto"/>
        </w:rPr>
        <w:instrText xml:space="preserve"> HYPERLINK "https://www.planalto.gov.br/ccivil_03/_ato2015-2018/2018/lei/l13709.htm" \l "art26§1" </w:instrText>
      </w:r>
      <w:r>
        <w:rPr>
          <w:color w:val="auto"/>
        </w:rPr>
        <w:fldChar w:fldCharType="separate"/>
      </w:r>
      <w:r>
        <w:rPr>
          <w:rFonts w:ascii="Arial" w:hAnsi="Arial" w:cs="Arial"/>
          <w:bCs/>
          <w:iCs/>
          <w:color w:val="auto"/>
          <w:lang w:val="pt-BR"/>
        </w:rPr>
        <w:t>§ 1º do art. 26 da LGPD</w:t>
      </w:r>
      <w:r>
        <w:rPr>
          <w:rFonts w:ascii="Arial" w:hAnsi="Arial" w:cs="Arial"/>
          <w:bCs/>
          <w:iCs/>
          <w:color w:val="auto"/>
          <w:lang w:val="pt-BR"/>
        </w:rPr>
        <w:fldChar w:fldCharType="end"/>
      </w:r>
      <w:r>
        <w:rPr>
          <w:rFonts w:ascii="Arial" w:hAnsi="Arial" w:cs="Arial"/>
          <w:bCs/>
          <w:iCs/>
          <w:color w:val="auto"/>
          <w:lang w:val="pt-BR"/>
        </w:rPr>
        <w:t xml:space="preserve"> deverão ser comunicados à autoridade nacional.</w:t>
      </w:r>
    </w:p>
    <w:p>
      <w:pPr>
        <w:pStyle w:val="19"/>
        <w:widowControl/>
        <w:tabs>
          <w:tab w:val="left" w:pos="426"/>
        </w:tabs>
        <w:autoSpaceDE/>
        <w:autoSpaceDN/>
        <w:spacing w:before="120" w:after="120" w:line="276" w:lineRule="auto"/>
        <w:ind w:left="0"/>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3" w:name="_Hlk114504069"/>
      <w:r>
        <w:rPr>
          <w:rStyle w:val="9"/>
          <w:rFonts w:ascii="Arial" w:hAnsi="Arial" w:eastAsia="Arial" w:cs="Arial"/>
        </w:rPr>
        <w:t>Lei nº 14.133, de 2021</w:t>
      </w:r>
      <w:bookmarkEnd w:id="1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pPr>
        <w:pStyle w:val="19"/>
        <w:widowControl/>
        <w:numPr>
          <w:ilvl w:val="0"/>
          <w:numId w:val="0"/>
        </w:numPr>
        <w:tabs>
          <w:tab w:val="left" w:pos="426"/>
        </w:tabs>
        <w:autoSpaceDE/>
        <w:autoSpaceDN/>
        <w:spacing w:before="120" w:after="120" w:line="276" w:lineRule="auto"/>
        <w:ind w:leftChars="0"/>
        <w:jc w:val="both"/>
      </w:pPr>
    </w:p>
    <w:p>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19"/>
        <w:widowControl/>
        <w:numPr>
          <w:ilvl w:val="0"/>
          <w:numId w:val="0"/>
        </w:numPr>
        <w:tabs>
          <w:tab w:val="left" w:pos="426"/>
        </w:tabs>
        <w:autoSpaceDE/>
        <w:autoSpaceDN/>
        <w:spacing w:before="120" w:after="120" w:line="276" w:lineRule="auto"/>
        <w:ind w:leftChars="0"/>
        <w:jc w:val="both"/>
        <w:rPr>
          <w:rFonts w:ascii="Arial" w:hAnsi="Arial" w:eastAsia="Arial" w:cs="Arial"/>
        </w:rPr>
      </w:pPr>
    </w:p>
    <w:p>
      <w:pPr>
        <w:pStyle w:val="34"/>
        <w:numPr>
          <w:ilvl w:val="0"/>
          <w:numId w:val="3"/>
        </w:numPr>
        <w:tabs>
          <w:tab w:val="left" w:pos="284"/>
          <w:tab w:val="left" w:pos="993"/>
        </w:tabs>
        <w:spacing w:line="276" w:lineRule="auto"/>
        <w:ind w:left="0" w:firstLine="0"/>
      </w:pPr>
      <w:r>
        <w:rPr>
          <w:rFonts w:ascii="Arial" w:hAnsi="Arial" w:cs="Arial"/>
          <w:sz w:val="22"/>
          <w:szCs w:val="22"/>
        </w:rPr>
        <w:t xml:space="preserve"> CLÁUSULA DÉCIMA QUARTA –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As despesas decorrentes da presente contratação correrão à conta de recursos específicos consignados no Orçamento do Município, na forma abaixo:</w:t>
      </w:r>
    </w:p>
    <w:tbl>
      <w:tblPr>
        <w:tblStyle w:val="17"/>
        <w:tblW w:w="89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 w:type="dxa"/>
          <w:bottom w:w="0" w:type="dxa"/>
          <w:right w:w="103" w:type="dxa"/>
        </w:tblCellMar>
      </w:tblPr>
      <w:tblGrid>
        <w:gridCol w:w="2659"/>
        <w:gridCol w:w="2678"/>
        <w:gridCol w:w="1635"/>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 w:type="dxa"/>
            <w:bottom w:w="0" w:type="dxa"/>
            <w:right w:w="103" w:type="dxa"/>
          </w:tblCellMar>
        </w:tblPrEx>
        <w:tc>
          <w:tcPr>
            <w:tcW w:w="2776" w:type="dxa"/>
            <w:tcMar>
              <w:left w:w="-5" w:type="dxa"/>
            </w:tcMar>
          </w:tcPr>
          <w:p>
            <w:pPr>
              <w:pStyle w:val="19"/>
              <w:widowControl/>
              <w:numPr>
                <w:ilvl w:val="0"/>
                <w:numId w:val="0"/>
              </w:numPr>
              <w:tabs>
                <w:tab w:val="left" w:pos="426"/>
              </w:tabs>
              <w:autoSpaceDE/>
              <w:autoSpaceDN/>
              <w:spacing w:before="120" w:after="120" w:line="276" w:lineRule="auto"/>
              <w:ind w:leftChars="0"/>
              <w:jc w:val="center"/>
              <w:rPr>
                <w:rFonts w:ascii="Arial" w:hAnsi="Arial" w:eastAsia="Arial" w:cs="Arial"/>
              </w:rPr>
            </w:pPr>
            <w:r>
              <w:rPr>
                <w:rFonts w:ascii="Arial" w:hAnsi="Arial" w:eastAsia="Arial" w:cs="Arial"/>
              </w:rPr>
              <w:t>Órgão/Unidade Orçamentária</w:t>
            </w:r>
          </w:p>
        </w:tc>
        <w:tc>
          <w:tcPr>
            <w:tcW w:w="2388" w:type="dxa"/>
            <w:tcMar>
              <w:left w:w="-5" w:type="dxa"/>
            </w:tcMar>
          </w:tcPr>
          <w:p>
            <w:pPr>
              <w:pStyle w:val="19"/>
              <w:widowControl/>
              <w:numPr>
                <w:ilvl w:val="0"/>
                <w:numId w:val="0"/>
              </w:numPr>
              <w:tabs>
                <w:tab w:val="left" w:pos="426"/>
              </w:tabs>
              <w:autoSpaceDE/>
              <w:autoSpaceDN/>
              <w:spacing w:before="120" w:after="120" w:line="276" w:lineRule="auto"/>
              <w:ind w:leftChars="0"/>
              <w:jc w:val="center"/>
              <w:rPr>
                <w:rFonts w:ascii="Arial" w:hAnsi="Arial" w:eastAsia="Arial" w:cs="Arial"/>
              </w:rPr>
            </w:pPr>
            <w:r>
              <w:rPr>
                <w:rFonts w:ascii="Arial" w:hAnsi="Arial" w:eastAsia="Arial" w:cs="Arial"/>
              </w:rPr>
              <w:t>Programa de Trabalho</w:t>
            </w:r>
          </w:p>
        </w:tc>
        <w:tc>
          <w:tcPr>
            <w:tcW w:w="1700" w:type="dxa"/>
            <w:tcMar>
              <w:left w:w="-5" w:type="dxa"/>
            </w:tcMar>
          </w:tcPr>
          <w:p>
            <w:pPr>
              <w:pStyle w:val="19"/>
              <w:widowControl/>
              <w:numPr>
                <w:ilvl w:val="0"/>
                <w:numId w:val="0"/>
              </w:numPr>
              <w:tabs>
                <w:tab w:val="left" w:pos="426"/>
              </w:tabs>
              <w:autoSpaceDE/>
              <w:autoSpaceDN/>
              <w:spacing w:before="120" w:after="120" w:line="276" w:lineRule="auto"/>
              <w:ind w:leftChars="0"/>
              <w:jc w:val="center"/>
              <w:rPr>
                <w:rFonts w:ascii="Arial" w:hAnsi="Arial" w:eastAsia="Arial" w:cs="Arial"/>
              </w:rPr>
            </w:pPr>
            <w:r>
              <w:rPr>
                <w:rFonts w:ascii="Arial" w:hAnsi="Arial" w:eastAsia="Arial" w:cs="Arial"/>
              </w:rPr>
              <w:t>Fonte de Recursos</w:t>
            </w:r>
          </w:p>
        </w:tc>
        <w:tc>
          <w:tcPr>
            <w:tcW w:w="2085" w:type="dxa"/>
            <w:tcMar>
              <w:left w:w="-5" w:type="dxa"/>
            </w:tcMar>
          </w:tcPr>
          <w:p>
            <w:pPr>
              <w:pStyle w:val="19"/>
              <w:widowControl/>
              <w:numPr>
                <w:ilvl w:val="0"/>
                <w:numId w:val="0"/>
              </w:numPr>
              <w:tabs>
                <w:tab w:val="left" w:pos="426"/>
              </w:tabs>
              <w:autoSpaceDE/>
              <w:autoSpaceDN/>
              <w:spacing w:before="120" w:after="120" w:line="276" w:lineRule="auto"/>
              <w:ind w:leftChars="0"/>
              <w:jc w:val="center"/>
              <w:rPr>
                <w:rFonts w:ascii="Arial" w:hAnsi="Arial" w:eastAsia="Arial" w:cs="Arial"/>
              </w:rPr>
            </w:pPr>
            <w:r>
              <w:rPr>
                <w:rFonts w:ascii="Arial" w:hAnsi="Arial" w:eastAsia="Arial" w:cs="Arial"/>
              </w:rPr>
              <w:t>Natureza da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 w:type="dxa"/>
            <w:bottom w:w="0" w:type="dxa"/>
            <w:right w:w="103" w:type="dxa"/>
          </w:tblCellMar>
        </w:tblPrEx>
        <w:tc>
          <w:tcPr>
            <w:tcW w:w="2776" w:type="dxa"/>
            <w:tcMar>
              <w:left w:w="-5" w:type="dxa"/>
            </w:tcMar>
            <w:vAlign w:val="center"/>
          </w:tcPr>
          <w:p>
            <w:pPr>
              <w:pStyle w:val="19"/>
              <w:widowControl/>
              <w:numPr>
                <w:ilvl w:val="0"/>
                <w:numId w:val="0"/>
              </w:numPr>
              <w:tabs>
                <w:tab w:val="left" w:pos="426"/>
              </w:tabs>
              <w:autoSpaceDE/>
              <w:autoSpaceDN/>
              <w:spacing w:before="120" w:after="120" w:line="276" w:lineRule="auto"/>
              <w:ind w:leftChars="0"/>
              <w:jc w:val="center"/>
              <w:rPr>
                <w:rFonts w:ascii="Arial" w:hAnsi="Arial" w:eastAsia="Arial" w:cs="Arial"/>
              </w:rPr>
            </w:pPr>
            <w:r>
              <w:rPr>
                <w:rFonts w:ascii="Arial" w:hAnsi="Arial" w:eastAsia="Arial" w:cs="Arial"/>
              </w:rPr>
              <w:t>Secretaria Municipal de Turismo</w:t>
            </w:r>
          </w:p>
        </w:tc>
        <w:tc>
          <w:tcPr>
            <w:tcW w:w="2388" w:type="dxa"/>
            <w:tcMar>
              <w:left w:w="-5" w:type="dxa"/>
            </w:tcMar>
            <w:vAlign w:val="center"/>
          </w:tcPr>
          <w:p>
            <w:pPr>
              <w:pStyle w:val="19"/>
              <w:widowControl/>
              <w:numPr>
                <w:ilvl w:val="0"/>
                <w:numId w:val="0"/>
              </w:numPr>
              <w:tabs>
                <w:tab w:val="left" w:pos="426"/>
              </w:tabs>
              <w:autoSpaceDE/>
              <w:autoSpaceDN/>
              <w:spacing w:before="120" w:after="120" w:line="276" w:lineRule="auto"/>
              <w:ind w:leftChars="0"/>
              <w:jc w:val="center"/>
              <w:rPr>
                <w:rFonts w:hint="default" w:ascii="Arial" w:hAnsi="Arial" w:eastAsia="Arial" w:cs="Arial"/>
                <w:lang w:val="pt-BR"/>
              </w:rPr>
            </w:pPr>
            <w:r>
              <w:rPr>
                <w:rFonts w:hint="default" w:ascii="Arial" w:hAnsi="Arial" w:eastAsia="Arial" w:cs="Arial"/>
                <w:lang w:val="pt-BR"/>
              </w:rPr>
              <w:t>10</w:t>
            </w:r>
            <w:r>
              <w:rPr>
                <w:rFonts w:ascii="Arial" w:hAnsi="Arial" w:eastAsia="Arial" w:cs="Arial"/>
              </w:rPr>
              <w:t>.00</w:t>
            </w:r>
            <w:r>
              <w:rPr>
                <w:rFonts w:hint="default" w:ascii="Arial" w:hAnsi="Arial" w:eastAsia="Arial" w:cs="Arial"/>
                <w:lang w:val="pt-BR"/>
              </w:rPr>
              <w:t>3</w:t>
            </w:r>
            <w:r>
              <w:rPr>
                <w:rFonts w:ascii="Arial" w:hAnsi="Arial" w:eastAsia="Arial" w:cs="Arial"/>
              </w:rPr>
              <w:t>.23.695.00</w:t>
            </w:r>
            <w:r>
              <w:rPr>
                <w:rFonts w:hint="default" w:ascii="Arial" w:hAnsi="Arial" w:eastAsia="Arial" w:cs="Arial"/>
                <w:lang w:val="pt-BR"/>
              </w:rPr>
              <w:t>09</w:t>
            </w:r>
            <w:r>
              <w:rPr>
                <w:rFonts w:ascii="Arial" w:hAnsi="Arial" w:eastAsia="Arial" w:cs="Arial"/>
              </w:rPr>
              <w:t>.2.</w:t>
            </w:r>
            <w:r>
              <w:rPr>
                <w:rFonts w:hint="default" w:ascii="Arial" w:hAnsi="Arial" w:eastAsia="Arial" w:cs="Arial"/>
                <w:lang w:val="pt-BR"/>
              </w:rPr>
              <w:t>123</w:t>
            </w:r>
          </w:p>
        </w:tc>
        <w:tc>
          <w:tcPr>
            <w:tcW w:w="1700" w:type="dxa"/>
            <w:tcMar>
              <w:left w:w="-5" w:type="dxa"/>
            </w:tcMar>
            <w:vAlign w:val="center"/>
          </w:tcPr>
          <w:p>
            <w:pPr>
              <w:pStyle w:val="19"/>
              <w:widowControl/>
              <w:numPr>
                <w:ilvl w:val="0"/>
                <w:numId w:val="0"/>
              </w:numPr>
              <w:tabs>
                <w:tab w:val="left" w:pos="426"/>
              </w:tabs>
              <w:autoSpaceDE/>
              <w:autoSpaceDN/>
              <w:spacing w:before="120" w:after="120" w:line="276" w:lineRule="auto"/>
              <w:ind w:leftChars="0"/>
              <w:jc w:val="center"/>
              <w:rPr>
                <w:rFonts w:ascii="Arial" w:hAnsi="Arial" w:eastAsia="Arial" w:cs="Arial"/>
              </w:rPr>
            </w:pPr>
            <w:r>
              <w:rPr>
                <w:rFonts w:ascii="Arial" w:hAnsi="Arial" w:eastAsia="Arial" w:cs="Arial"/>
              </w:rPr>
              <w:t>1500</w:t>
            </w:r>
          </w:p>
        </w:tc>
        <w:tc>
          <w:tcPr>
            <w:tcW w:w="2085" w:type="dxa"/>
            <w:tcMar>
              <w:left w:w="-5" w:type="dxa"/>
            </w:tcMar>
            <w:vAlign w:val="center"/>
          </w:tcPr>
          <w:p>
            <w:pPr>
              <w:pStyle w:val="19"/>
              <w:widowControl/>
              <w:numPr>
                <w:ilvl w:val="0"/>
                <w:numId w:val="0"/>
              </w:numPr>
              <w:tabs>
                <w:tab w:val="left" w:pos="426"/>
              </w:tabs>
              <w:autoSpaceDE/>
              <w:autoSpaceDN/>
              <w:spacing w:before="120" w:after="120" w:line="276" w:lineRule="auto"/>
              <w:ind w:leftChars="0"/>
              <w:jc w:val="center"/>
              <w:rPr>
                <w:rFonts w:hint="default" w:ascii="Arial" w:hAnsi="Arial" w:eastAsia="Arial" w:cs="Arial"/>
                <w:lang w:val="pt-BR"/>
              </w:rPr>
            </w:pPr>
            <w:r>
              <w:rPr>
                <w:rFonts w:ascii="Arial" w:hAnsi="Arial" w:eastAsia="Arial" w:cs="Arial"/>
              </w:rPr>
              <w:t>339039-</w:t>
            </w:r>
            <w:r>
              <w:rPr>
                <w:rFonts w:hint="default" w:ascii="Arial" w:hAnsi="Arial" w:eastAsia="Arial" w:cs="Arial"/>
                <w:lang w:val="pt-BR"/>
              </w:rPr>
              <w:t>22</w:t>
            </w:r>
          </w:p>
        </w:tc>
      </w:tr>
    </w:tbl>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r>
        <w:rPr>
          <w:rFonts w:ascii="Arial" w:hAnsi="Arial" w:cs="Arial"/>
          <w:sz w:val="22"/>
          <w:szCs w:val="22"/>
        </w:rPr>
        <w:t xml:space="preserve"> CLÁUSULA DÉCIMA QUINTA – ALTERAÇÕES</w:t>
      </w:r>
    </w:p>
    <w:p>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pPr>
        <w:pStyle w:val="19"/>
        <w:widowControl/>
        <w:tabs>
          <w:tab w:val="left" w:pos="426"/>
        </w:tabs>
        <w:autoSpaceDE/>
        <w:autoSpaceDN/>
        <w:spacing w:before="120" w:after="120" w:line="276" w:lineRule="auto"/>
        <w:ind w:left="0"/>
        <w:jc w:val="both"/>
      </w:pP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pPr>
        <w:pStyle w:val="19"/>
        <w:tabs>
          <w:tab w:val="left" w:pos="426"/>
        </w:tabs>
        <w:ind w:left="0"/>
        <w:jc w:val="both"/>
      </w:pP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pPr>
        <w:pStyle w:val="19"/>
        <w:tabs>
          <w:tab w:val="left" w:pos="426"/>
        </w:tabs>
        <w:ind w:left="0"/>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both"/>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rPr>
        <w:rFonts w:ascii="Arial" w:hAnsi="Arial" w:cs="Arial"/>
        <w:color w:val="000000"/>
        <w:sz w:val="18"/>
        <w:szCs w:val="18"/>
      </w:rPr>
      <w:fldChar w:fldCharType="begin"/>
    </w:r>
    <w:r>
      <w:rPr>
        <w:rFonts w:ascii="Arial" w:hAnsi="Arial" w:cs="Arial"/>
        <w:color w:val="000000"/>
        <w:sz w:val="18"/>
        <w:szCs w:val="18"/>
      </w:rPr>
      <w:instrText xml:space="preserve"> HYPERLINK "mailto:pregaoeletronico.friburgo@gmail.com" </w:instrText>
    </w:r>
    <w:r>
      <w:rPr>
        <w:rFonts w:ascii="Arial" w:hAnsi="Arial" w:cs="Arial"/>
        <w:color w:val="000000"/>
        <w:sz w:val="18"/>
        <w:szCs w:val="18"/>
      </w:rPr>
      <w:fldChar w:fldCharType="separate"/>
    </w:r>
    <w:r>
      <w:rPr>
        <w:rFonts w:hint="default" w:ascii="Arial" w:hAnsi="Arial" w:cs="Arial"/>
        <w:color w:val="000000"/>
        <w:sz w:val="18"/>
        <w:szCs w:val="18"/>
        <w:lang w:val="pt-BR"/>
      </w:rPr>
      <w:t>licitacaopmnf</w:t>
    </w:r>
    <w:r>
      <w:rPr>
        <w:rFonts w:ascii="Arial" w:hAnsi="Arial" w:cs="Arial"/>
        <w:color w:val="000000"/>
        <w:sz w:val="18"/>
        <w:szCs w:val="18"/>
      </w:rPr>
      <w:t>@gmail.co</w:t>
    </w:r>
    <w:r>
      <w:rPr>
        <w:rFonts w:ascii="Arial" w:hAnsi="Arial" w:cs="Arial"/>
        <w:color w:val="000000"/>
        <w:sz w:val="18"/>
        <w:szCs w:val="18"/>
      </w:rPr>
      <w:fldChar w:fldCharType="end"/>
    </w:r>
    <w:r>
      <w:rPr>
        <w:rFonts w:hint="default" w:ascii="Arial" w:hAnsi="Arial" w:cs="Arial"/>
        <w:color w:val="000000"/>
        <w:sz w:val="18"/>
        <w:szCs w:val="18"/>
        <w:lang w:val="pt-BR"/>
      </w:rPr>
      <w:t xml:space="preserve">m </w:t>
    </w:r>
    <w:r>
      <w:rPr>
        <w:rFonts w:ascii="Arial" w:hAnsi="Arial" w:cs="Arial"/>
        <w:color w:val="000000"/>
        <w:sz w:val="18"/>
        <w:szCs w:val="18"/>
      </w:rPr>
      <w:t xml:space="preserve"> – Telefone: (22) 2525-9100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142"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57545" cy="1172845"/>
          <wp:effectExtent l="0" t="0" r="0" b="0"/>
          <wp:docPr id="1" name="Imagem 1" descr="Secretaria de Turis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Turismo"/>
                  <pic:cNvPicPr>
                    <a:picLocks noChangeAspect="1"/>
                  </pic:cNvPicPr>
                </pic:nvPicPr>
                <pic:blipFill>
                  <a:blip r:embed="rId1"/>
                  <a:stretch>
                    <a:fillRect/>
                  </a:stretch>
                </pic:blipFill>
                <pic:spPr>
                  <a:xfrm>
                    <a:off x="0" y="0"/>
                    <a:ext cx="5757545" cy="117284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highlight w:val="none"/>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12A7"/>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4347"/>
    <w:rsid w:val="00BE3C4E"/>
    <w:rsid w:val="00BE3CE6"/>
    <w:rsid w:val="00BE40A2"/>
    <w:rsid w:val="00BE429A"/>
    <w:rsid w:val="00BE4E9F"/>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5AC0"/>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03353E24"/>
    <w:rsid w:val="045870DB"/>
    <w:rsid w:val="064564FF"/>
    <w:rsid w:val="079F59E9"/>
    <w:rsid w:val="0A736019"/>
    <w:rsid w:val="0BCA2B43"/>
    <w:rsid w:val="11CC2ACE"/>
    <w:rsid w:val="125806B6"/>
    <w:rsid w:val="132E6351"/>
    <w:rsid w:val="16CF35F9"/>
    <w:rsid w:val="17ED7258"/>
    <w:rsid w:val="1AF72D93"/>
    <w:rsid w:val="1BEE5E96"/>
    <w:rsid w:val="1FD12E07"/>
    <w:rsid w:val="2342262A"/>
    <w:rsid w:val="26384463"/>
    <w:rsid w:val="269C2E92"/>
    <w:rsid w:val="26C00BCE"/>
    <w:rsid w:val="2783682D"/>
    <w:rsid w:val="2A835272"/>
    <w:rsid w:val="2EA37CED"/>
    <w:rsid w:val="2FCF6166"/>
    <w:rsid w:val="3550794B"/>
    <w:rsid w:val="3C4D19A5"/>
    <w:rsid w:val="3C9967A2"/>
    <w:rsid w:val="3D361311"/>
    <w:rsid w:val="3FD84B75"/>
    <w:rsid w:val="40DF4FB3"/>
    <w:rsid w:val="42DC5AEE"/>
    <w:rsid w:val="4A354714"/>
    <w:rsid w:val="4B5B5125"/>
    <w:rsid w:val="501F24D5"/>
    <w:rsid w:val="55BE1196"/>
    <w:rsid w:val="5AB26333"/>
    <w:rsid w:val="5C237373"/>
    <w:rsid w:val="610F0A93"/>
    <w:rsid w:val="61CD4524"/>
    <w:rsid w:val="623C6820"/>
    <w:rsid w:val="62A1251B"/>
    <w:rsid w:val="640752AF"/>
    <w:rsid w:val="64303515"/>
    <w:rsid w:val="658A491D"/>
    <w:rsid w:val="65A44DDF"/>
    <w:rsid w:val="65A744DB"/>
    <w:rsid w:val="65AB0C40"/>
    <w:rsid w:val="67F2691A"/>
    <w:rsid w:val="68532C20"/>
    <w:rsid w:val="6EEE0BE3"/>
    <w:rsid w:val="70375F9A"/>
    <w:rsid w:val="749B1192"/>
    <w:rsid w:val="772F5BFF"/>
    <w:rsid w:val="77B2358A"/>
    <w:rsid w:val="7AAC5E69"/>
    <w:rsid w:val="7ACF39AF"/>
    <w:rsid w:val="7EB8300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9"/>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Link da Internet"/>
    <w:basedOn w:val="5"/>
    <w:unhideWhenUsed/>
    <w:qFormat/>
    <w:uiPriority w:val="99"/>
    <w:rPr>
      <w:color w:val="0000FF"/>
      <w:u w:val="none"/>
    </w:rPr>
  </w:style>
  <w:style w:type="paragraph" w:customStyle="1" w:styleId="62">
    <w:name w:val="Conteúdo da tabela"/>
    <w:basedOn w:val="1"/>
    <w:qFormat/>
    <w:uiPriority w:val="0"/>
  </w:style>
  <w:style w:type="character" w:customStyle="1" w:styleId="63">
    <w:name w:val="tex3"/>
    <w:basedOn w:val="64"/>
    <w:qFormat/>
    <w:uiPriority w:val="0"/>
  </w:style>
  <w:style w:type="character" w:customStyle="1" w:styleId="64">
    <w:name w:val="Fonte parág. padrão1"/>
    <w:qFormat/>
    <w:uiPriority w:val="0"/>
  </w:style>
  <w:style w:type="paragraph" w:customStyle="1" w:styleId="65">
    <w:name w:val="Default"/>
    <w:qFormat/>
    <w:uiPriority w:val="0"/>
    <w:pPr>
      <w:suppressAutoHyphens/>
    </w:pPr>
    <w:rPr>
      <w:rFonts w:ascii="Times New Roman" w:hAnsi="Times New Roman" w:eastAsia="Calibri" w:cs="Times New Roman"/>
      <w:color w:val="000000"/>
      <w:sz w:val="24"/>
      <w:szCs w:val="24"/>
      <w:lang w:val="pt-BR"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6139</Words>
  <Characters>33156</Characters>
  <Lines>276</Lines>
  <Paragraphs>78</Paragraphs>
  <TotalTime>0</TotalTime>
  <ScaleCrop>false</ScaleCrop>
  <LinksUpToDate>false</LinksUpToDate>
  <CharactersWithSpaces>39217</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2026-08-06T14:19:32Z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5BDC8CEBA3E94F8CA249749E2E807F87_12</vt:lpwstr>
  </property>
</Properties>
</file>